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2EFFA7C0" w:rsidR="00AE6213" w:rsidRPr="00452041" w:rsidRDefault="00967F8A" w:rsidP="00AE6213">
      <w:pPr>
        <w:pStyle w:val="3GPPHeader"/>
        <w:spacing w:after="60"/>
        <w:rPr>
          <w:sz w:val="32"/>
          <w:szCs w:val="32"/>
          <w:highlight w:val="yellow"/>
        </w:rPr>
      </w:pPr>
      <w:r w:rsidRPr="009D2335">
        <w:t xml:space="preserve">3GPP TSG-RAN WG2 </w:t>
      </w:r>
      <w:r w:rsidR="00452041" w:rsidRPr="009D2335">
        <w:t>NR-Ah</w:t>
      </w:r>
      <w:r w:rsidRPr="009D2335">
        <w:t>#</w:t>
      </w:r>
      <w:r w:rsidR="00B76088" w:rsidRPr="009D2335">
        <w:t>1</w:t>
      </w:r>
      <w:r w:rsidR="00452041" w:rsidRPr="009D2335">
        <w:t>8</w:t>
      </w:r>
      <w:r w:rsidR="00B76088" w:rsidRPr="009D2335">
        <w:t>0</w:t>
      </w:r>
      <w:r w:rsidR="00452041" w:rsidRPr="009D2335">
        <w:t>1</w:t>
      </w:r>
      <w:r w:rsidRPr="009D2335">
        <w:tab/>
      </w:r>
      <w:r w:rsidR="00E940CC">
        <w:t xml:space="preserve"> </w:t>
      </w:r>
      <w:bookmarkStart w:id="0" w:name="_GoBack"/>
      <w:r w:rsidR="00E940CC" w:rsidRPr="00E940CC">
        <w:rPr>
          <w:sz w:val="32"/>
          <w:szCs w:val="32"/>
        </w:rPr>
        <w:t>R2-1801309</w:t>
      </w:r>
      <w:bookmarkEnd w:id="0"/>
    </w:p>
    <w:p w14:paraId="6AD30680" w14:textId="338BF829" w:rsidR="00967F8A" w:rsidRPr="009D2335" w:rsidRDefault="00452041" w:rsidP="00AE6213">
      <w:pPr>
        <w:pStyle w:val="3GPPHeader"/>
        <w:spacing w:after="60"/>
        <w:rPr>
          <w:b w:val="0"/>
          <w:noProof/>
        </w:rPr>
      </w:pPr>
      <w:r w:rsidRPr="009D2335">
        <w:rPr>
          <w:noProof/>
        </w:rPr>
        <w:t>Vancouver</w:t>
      </w:r>
      <w:r w:rsidR="00967F8A" w:rsidRPr="009D2335">
        <w:rPr>
          <w:noProof/>
        </w:rPr>
        <w:t>,</w:t>
      </w:r>
      <w:r w:rsidRPr="009D2335">
        <w:rPr>
          <w:noProof/>
        </w:rPr>
        <w:t xml:space="preserve"> Canada,</w:t>
      </w:r>
      <w:r w:rsidR="00967F8A" w:rsidRPr="009D2335">
        <w:rPr>
          <w:noProof/>
        </w:rPr>
        <w:t xml:space="preserve"> </w:t>
      </w:r>
      <w:r w:rsidR="005A561A" w:rsidRPr="009D2335">
        <w:rPr>
          <w:noProof/>
        </w:rPr>
        <w:t>22</w:t>
      </w:r>
      <w:r w:rsidR="005A561A" w:rsidRPr="009D2335">
        <w:rPr>
          <w:noProof/>
          <w:vertAlign w:val="superscript"/>
        </w:rPr>
        <w:t>nd</w:t>
      </w:r>
      <w:r w:rsidR="005A561A" w:rsidRPr="009D2335">
        <w:rPr>
          <w:noProof/>
        </w:rPr>
        <w:t xml:space="preserve"> – 26</w:t>
      </w:r>
      <w:r w:rsidR="005A561A" w:rsidRPr="009D2335">
        <w:rPr>
          <w:noProof/>
          <w:vertAlign w:val="superscript"/>
        </w:rPr>
        <w:t>th</w:t>
      </w:r>
      <w:r w:rsidR="005A561A" w:rsidRPr="009D2335">
        <w:rPr>
          <w:noProof/>
        </w:rPr>
        <w:t xml:space="preserve"> </w:t>
      </w:r>
      <w:r w:rsidRPr="009D2335">
        <w:rPr>
          <w:noProof/>
        </w:rPr>
        <w:t>January</w:t>
      </w:r>
      <w:r w:rsidR="00B76088" w:rsidRPr="009D2335">
        <w:rPr>
          <w:noProof/>
          <w:vertAlign w:val="superscript"/>
        </w:rPr>
        <w:t xml:space="preserve"> </w:t>
      </w:r>
      <w:r w:rsidR="00967F8A" w:rsidRPr="009D2335">
        <w:rPr>
          <w:noProof/>
        </w:rPr>
        <w:t>201</w:t>
      </w:r>
      <w:r w:rsidR="00D0084F" w:rsidRPr="009D2335">
        <w:rPr>
          <w:noProof/>
        </w:rPr>
        <w:t>8</w:t>
      </w:r>
    </w:p>
    <w:p w14:paraId="3401E9E8" w14:textId="77777777" w:rsidR="00452041" w:rsidRPr="00452041" w:rsidRDefault="00452041" w:rsidP="00A176D6">
      <w:pPr>
        <w:pStyle w:val="3GPPHeader"/>
        <w:rPr>
          <w:sz w:val="22"/>
          <w:szCs w:val="22"/>
          <w:highlight w:val="yellow"/>
          <w:lang w:val="en-US"/>
        </w:rPr>
      </w:pPr>
    </w:p>
    <w:p w14:paraId="55EA3377" w14:textId="2463F3AC" w:rsidR="00A176D6" w:rsidRPr="00AB2AD5" w:rsidRDefault="00A176D6" w:rsidP="00A176D6">
      <w:pPr>
        <w:pStyle w:val="3GPPHeader"/>
        <w:rPr>
          <w:sz w:val="22"/>
          <w:szCs w:val="22"/>
          <w:lang w:val="en-US"/>
        </w:rPr>
      </w:pPr>
      <w:r w:rsidRPr="009D2335">
        <w:rPr>
          <w:sz w:val="22"/>
          <w:szCs w:val="22"/>
          <w:lang w:val="en-US"/>
        </w:rPr>
        <w:t>Agenda Item:</w:t>
      </w:r>
      <w:r w:rsidRPr="009D2335">
        <w:rPr>
          <w:sz w:val="22"/>
          <w:szCs w:val="22"/>
          <w:lang w:val="en-US"/>
        </w:rPr>
        <w:tab/>
      </w:r>
      <w:r w:rsidR="00345AE9" w:rsidRPr="00345AE9">
        <w:t xml:space="preserve"> </w:t>
      </w:r>
      <w:r w:rsidR="00345AE9" w:rsidRPr="00345AE9">
        <w:rPr>
          <w:sz w:val="22"/>
          <w:szCs w:val="22"/>
          <w:lang w:val="en-US"/>
        </w:rPr>
        <w:t>10.4.1.4.6</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66AAA8D3" w:rsidR="00A176D6" w:rsidRPr="00CE0424" w:rsidRDefault="00A176D6" w:rsidP="00A176D6">
      <w:pPr>
        <w:pStyle w:val="3GPPHeader"/>
        <w:rPr>
          <w:sz w:val="22"/>
          <w:szCs w:val="22"/>
        </w:rPr>
      </w:pPr>
      <w:r>
        <w:rPr>
          <w:sz w:val="22"/>
          <w:szCs w:val="22"/>
        </w:rPr>
        <w:t>Title:</w:t>
      </w:r>
      <w:r w:rsidRPr="00CE0424">
        <w:rPr>
          <w:sz w:val="22"/>
          <w:szCs w:val="22"/>
        </w:rPr>
        <w:tab/>
      </w:r>
      <w:r w:rsidR="00D0084F" w:rsidRPr="00D0084F">
        <w:rPr>
          <w:sz w:val="22"/>
          <w:szCs w:val="22"/>
        </w:rPr>
        <w:t xml:space="preserve">SA and NSA indication </w:t>
      </w:r>
      <w:r w:rsidR="00510F75">
        <w:rPr>
          <w:sz w:val="22"/>
          <w:szCs w:val="22"/>
        </w:rPr>
        <w:t>in CGI reporting</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2B033EF7" w14:textId="078E7337" w:rsidR="007560C0" w:rsidRDefault="008F7ADA" w:rsidP="00081D62">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E8443D">
        <w:t>, where such relations can be used to support mobility and load balancing.</w:t>
      </w:r>
      <w:r w:rsidR="006B6329">
        <w:t xml:space="preserve"> In our </w:t>
      </w:r>
      <w:r w:rsidR="0055719E">
        <w:t>understanding</w:t>
      </w:r>
      <w:r w:rsidR="006B6329">
        <w:t>,</w:t>
      </w:r>
      <w:r w:rsidR="0055719E">
        <w:t xml:space="preserve">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6B6329">
        <w:t>. Moreover,</w:t>
      </w:r>
      <w:r w:rsidR="0055719E">
        <w:t xml:space="preserve"> the challenging NR requirements will result in an even higher emphasis on the need for seamless mobility than in legacy RATs, which further increases the importance of automatic relation establishment in NR. </w:t>
      </w:r>
      <w:r w:rsidR="006B6329">
        <w:t>Therefore, we have discussed the ANR framework in NR in general in our companion contribution</w:t>
      </w:r>
      <w:r w:rsidR="00C9317C">
        <w:t xml:space="preserve"> </w:t>
      </w:r>
      <w:r w:rsidR="00C9317C">
        <w:fldChar w:fldCharType="begin"/>
      </w:r>
      <w:r w:rsidR="00C9317C">
        <w:instrText xml:space="preserve"> REF _Ref503257843 \r \h </w:instrText>
      </w:r>
      <w:r w:rsidR="00C9317C">
        <w:fldChar w:fldCharType="separate"/>
      </w:r>
      <w:r w:rsidR="00F27EC0">
        <w:t>[1]</w:t>
      </w:r>
      <w:r w:rsidR="00C9317C">
        <w:fldChar w:fldCharType="end"/>
      </w:r>
      <w:r w:rsidR="006B6329">
        <w:t xml:space="preserve">. </w:t>
      </w:r>
      <w:r w:rsidR="0040200D">
        <w:t xml:space="preserve">In this </w:t>
      </w:r>
      <w:r w:rsidR="0055719E">
        <w:t>paper</w:t>
      </w:r>
      <w:r w:rsidR="0040200D">
        <w:t>, further details of neighbour relation establishment</w:t>
      </w:r>
      <w:r w:rsidR="00C9317C">
        <w:t xml:space="preserve"> in different deployment scenarios will be discussed</w:t>
      </w:r>
      <w:r w:rsidR="0055719E">
        <w:t>.</w:t>
      </w:r>
    </w:p>
    <w:p w14:paraId="11603CCC" w14:textId="33C2D827" w:rsidR="00D0084F" w:rsidRDefault="00D0084F" w:rsidP="00081D62">
      <w:pPr>
        <w:pStyle w:val="BodyText"/>
      </w:pPr>
    </w:p>
    <w:p w14:paraId="1281B722" w14:textId="16545B13" w:rsidR="006425C6" w:rsidRDefault="004000E8" w:rsidP="006425C6">
      <w:pPr>
        <w:pStyle w:val="Heading1"/>
      </w:pPr>
      <w:bookmarkStart w:id="1" w:name="_Ref178064866"/>
      <w:r w:rsidRPr="00CE0424">
        <w:t>Discussion</w:t>
      </w:r>
      <w:bookmarkEnd w:id="1"/>
    </w:p>
    <w:p w14:paraId="17147B78" w14:textId="10D28989" w:rsidR="00AA0139" w:rsidRDefault="00C9317C" w:rsidP="00AC5FFA">
      <w:pPr>
        <w:pStyle w:val="Heading2"/>
      </w:pPr>
      <w:r>
        <w:t>Deployment scenarios</w:t>
      </w:r>
    </w:p>
    <w:p w14:paraId="73B45833" w14:textId="475685E6" w:rsidR="00E12189" w:rsidRDefault="00E12189" w:rsidP="00BD6E4E">
      <w:pPr>
        <w:pStyle w:val="BodyText"/>
      </w:pPr>
      <w:r>
        <w:rPr>
          <w:rStyle w:val="IvDbodytextChar"/>
        </w:rPr>
        <w:t xml:space="preserve">There are different ways to deploy 5G network with or without interworking with LTE and evolved packet code (EPC), as depicted in </w:t>
      </w:r>
      <w:r w:rsidRPr="1FB43C4D">
        <w:fldChar w:fldCharType="begin"/>
      </w:r>
      <w:r>
        <w:rPr>
          <w:rStyle w:val="IvDbodytextChar"/>
        </w:rPr>
        <w:instrText xml:space="preserve"> REF _Ref503265979 \h </w:instrText>
      </w:r>
      <w:r w:rsidRPr="1FB43C4D">
        <w:rPr>
          <w:rStyle w:val="IvDbodytextChar"/>
        </w:rPr>
        <w:fldChar w:fldCharType="separate"/>
      </w:r>
      <w:r w:rsidR="00F27EC0">
        <w:t xml:space="preserve">Figure </w:t>
      </w:r>
      <w:r w:rsidR="00F27EC0">
        <w:rPr>
          <w:noProof/>
        </w:rPr>
        <w:t>1</w:t>
      </w:r>
      <w:r w:rsidRPr="1FB43C4D">
        <w:fldChar w:fldCharType="end"/>
      </w:r>
      <w:r>
        <w:rPr>
          <w:rStyle w:val="IvDbodytextChar"/>
        </w:rPr>
        <w:t>. In princi</w:t>
      </w:r>
      <w:r w:rsidR="00CA4FDD">
        <w:rPr>
          <w:rStyle w:val="IvDbodytextChar"/>
        </w:rPr>
        <w:t xml:space="preserve">ple, NR and LTE can be deployed without any interworking, denoted by </w:t>
      </w:r>
      <w:r w:rsidR="00510F75">
        <w:rPr>
          <w:rStyle w:val="IvDbodytextChar"/>
        </w:rPr>
        <w:t xml:space="preserve">NR </w:t>
      </w:r>
      <w:r w:rsidR="00CA4FDD">
        <w:rPr>
          <w:rStyle w:val="IvDbodytextChar"/>
        </w:rPr>
        <w:t xml:space="preserve">stand-alone (SA) operation, that is gNB </w:t>
      </w:r>
      <w:r w:rsidR="00984DF6">
        <w:rPr>
          <w:rStyle w:val="IvDbodytextChar"/>
        </w:rPr>
        <w:t>in NR can be connected to 5G cor</w:t>
      </w:r>
      <w:r w:rsidR="00CA4FDD">
        <w:rPr>
          <w:rStyle w:val="IvDbodytextChar"/>
        </w:rPr>
        <w:t>e network (5GCN) and eNB can be connected to EPC with no interconnection between the two (Option 1 and Option 2 in the figure). On the other hand, the first supported version</w:t>
      </w:r>
      <w:r w:rsidR="00984DF6">
        <w:rPr>
          <w:rStyle w:val="IvDbodytextChar"/>
        </w:rPr>
        <w:t xml:space="preserve"> of NR</w:t>
      </w:r>
      <w:r w:rsidR="00CA4FDD">
        <w:rPr>
          <w:rStyle w:val="IvDbodytextChar"/>
        </w:rPr>
        <w:t xml:space="preserve"> is the so-called EN-DC (EUTRAN-NR Dual Connectivity), illustrated by Option 3. In such a deployment, dual connectivity between NR and LTE is applied with LTE as the master and NR as the secondary node. The RAN node (gNB) supporting NR, may not have a control plane connection to core network (EPC), instead it relies on the LTE as master node (MeNB). This is also called as “Non-standalone NR". Notice that in this case the functionality of an NR cell is limited to be used for connected mode UEs as a booster and/or diversity leg, but a UE cannot camp on these NR cells.</w:t>
      </w:r>
    </w:p>
    <w:p w14:paraId="218B62F2" w14:textId="179A46AA" w:rsidR="00BD6E4E" w:rsidRDefault="1FB43C4D" w:rsidP="1FB43C4D">
      <w:pPr>
        <w:keepNext/>
        <w:rPr>
          <w:rFonts w:eastAsia="Arial" w:cs="Arial"/>
        </w:rPr>
      </w:pPr>
      <w:r w:rsidRPr="1FB43C4D">
        <w:rPr>
          <w:rFonts w:eastAsia="Arial" w:cs="Arial"/>
        </w:rPr>
        <w:t xml:space="preserve">With introduction of 5GCN, other options may be also valid. As mentioned above, option 2 supports stand-alone NR deployment where gNB is connected to 5GCN. Similarly, LTE can also be connected to 5GCN using option 5. In these cases, both NR and LTE </w:t>
      </w:r>
      <w:proofErr w:type="gramStart"/>
      <w:r w:rsidRPr="1FB43C4D">
        <w:rPr>
          <w:rFonts w:eastAsia="Arial" w:cs="Arial"/>
        </w:rPr>
        <w:t>are seen as</w:t>
      </w:r>
      <w:proofErr w:type="gramEnd"/>
      <w:r w:rsidRPr="1FB43C4D">
        <w:rPr>
          <w:rFonts w:eastAsia="Arial" w:cs="Arial"/>
        </w:rPr>
        <w:t xml:space="preserve"> part of the NG-RAN. It is worth noting that, Option 4 and option 7 are other variants of dual connectivity between LTE and NR which will be standardized as part of NG-RAN connected to 5GC, denoted by MR-DC (Multi-Radio Dual Connectivity). Option 6 and 8, where gNB </w:t>
      </w:r>
      <w:r w:rsidRPr="1FB43C4D">
        <w:rPr>
          <w:rFonts w:eastAsia="Arial" w:cs="Arial"/>
        </w:rPr>
        <w:lastRenderedPageBreak/>
        <w:t>is connected to EPC (with and without interconnectivity to LTE) are also possible, although they seem to be less practical and hence they will not be pursued further in 3GPP.</w:t>
      </w:r>
    </w:p>
    <w:p w14:paraId="6EF4B4C0" w14:textId="3C636621" w:rsidR="00BD6E4E" w:rsidRDefault="00BD6E4E" w:rsidP="1FB43C4D">
      <w:pPr>
        <w:keepNext/>
      </w:pPr>
      <w:r>
        <w:rPr>
          <w:noProof/>
        </w:rPr>
        <w:drawing>
          <wp:inline distT="0" distB="0" distL="0" distR="0" wp14:anchorId="6202ECEA" wp14:editId="5A73F99A">
            <wp:extent cx="5760720" cy="3199765"/>
            <wp:effectExtent l="0" t="0" r="0" b="635"/>
            <wp:docPr id="88327750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3199765"/>
                    </a:xfrm>
                    <a:prstGeom prst="rect">
                      <a:avLst/>
                    </a:prstGeom>
                  </pic:spPr>
                </pic:pic>
              </a:graphicData>
            </a:graphic>
          </wp:inline>
        </w:drawing>
      </w:r>
    </w:p>
    <w:p w14:paraId="3C6C5DBE" w14:textId="4DF0890E" w:rsidR="00BD6E4E" w:rsidRDefault="00BD6E4E" w:rsidP="00BD6E4E">
      <w:pPr>
        <w:pStyle w:val="Caption"/>
        <w:rPr>
          <w:b w:val="0"/>
        </w:rPr>
      </w:pPr>
      <w:bookmarkStart w:id="2" w:name="_Ref503265979"/>
      <w:r>
        <w:t xml:space="preserve">Figure </w:t>
      </w:r>
      <w:r>
        <w:fldChar w:fldCharType="begin"/>
      </w:r>
      <w:r>
        <w:instrText xml:space="preserve"> SEQ Figure \* ARABIC </w:instrText>
      </w:r>
      <w:r>
        <w:fldChar w:fldCharType="separate"/>
      </w:r>
      <w:r w:rsidR="00F27EC0">
        <w:rPr>
          <w:noProof/>
        </w:rPr>
        <w:t>1</w:t>
      </w:r>
      <w:r>
        <w:fldChar w:fldCharType="end"/>
      </w:r>
      <w:bookmarkEnd w:id="2"/>
      <w:r>
        <w:t xml:space="preserve"> </w:t>
      </w:r>
      <w:r w:rsidRPr="00632CE8">
        <w:t>LTE and NR interworking options</w:t>
      </w:r>
    </w:p>
    <w:p w14:paraId="1B69F452" w14:textId="78BCB739" w:rsidR="1FB43C4D" w:rsidRDefault="00510F75" w:rsidP="1FB43C4D">
      <w:r>
        <w:rPr>
          <w:rFonts w:eastAsia="Arial" w:cs="Arial"/>
        </w:rPr>
        <w:t xml:space="preserve">As migration for these options may differ from different operators, </w:t>
      </w:r>
      <w:r w:rsidR="1FB43C4D" w:rsidRPr="1FB43C4D">
        <w:rPr>
          <w:rFonts w:eastAsia="Arial" w:cs="Arial"/>
        </w:rPr>
        <w:t xml:space="preserve">it is possible </w:t>
      </w:r>
      <w:r>
        <w:rPr>
          <w:rFonts w:eastAsia="Arial" w:cs="Arial"/>
        </w:rPr>
        <w:t xml:space="preserve">to have deployments with </w:t>
      </w:r>
      <w:r w:rsidR="1FB43C4D" w:rsidRPr="1FB43C4D">
        <w:rPr>
          <w:rFonts w:eastAsia="Arial" w:cs="Arial"/>
        </w:rPr>
        <w:t xml:space="preserve">multiple options in parallel in the same network e.g. there could be eNB base station supporting option 3, 5 and 7 in the same network as NR base station supporting 2 and 4. In combination with dual connectivity solutions between LTE and NR it is also possible to support CA (Carrier Aggregation) in each cell group (i.e. MCG and SCG) and dual connectivity between nodes on same RAT (e.g. NR-NR DC). </w:t>
      </w:r>
    </w:p>
    <w:p w14:paraId="1DAEA4D9" w14:textId="04316D82" w:rsidR="00A87C47" w:rsidRDefault="1FB43C4D" w:rsidP="1FB43C4D">
      <w:pPr>
        <w:pStyle w:val="BodyText"/>
        <w:numPr>
          <w:ilvl w:val="0"/>
          <w:numId w:val="25"/>
        </w:numPr>
        <w:ind w:left="1560" w:hanging="1560"/>
        <w:rPr>
          <w:b/>
          <w:bCs/>
        </w:rPr>
      </w:pPr>
      <w:r w:rsidRPr="1FB43C4D">
        <w:rPr>
          <w:b/>
          <w:bCs/>
          <w:lang w:val="en-US"/>
        </w:rPr>
        <w:t>In real deployment, it is possible to support multiple options in parallel in the same network e.g. there could be eNB base station supporting option 3, 5 and 7 in the same network as NR base station supporting 2 and 4</w:t>
      </w:r>
      <w:r w:rsidRPr="1FB43C4D">
        <w:rPr>
          <w:b/>
          <w:bCs/>
        </w:rPr>
        <w:t>.</w:t>
      </w:r>
    </w:p>
    <w:p w14:paraId="5D14BBC7" w14:textId="18DEE73E" w:rsidR="1FB43C4D" w:rsidRDefault="1FB43C4D" w:rsidP="1FB43C4D">
      <w:r w:rsidRPr="1FB43C4D">
        <w:rPr>
          <w:rFonts w:eastAsia="Arial" w:cs="Arial"/>
        </w:rPr>
        <w:t xml:space="preserve">As different NR cells can have quite different functionalities, and the UE may not support all the options, the current ANR procedures have some deficiencies which could lead to error cases. For instance, one problem is for scenarios when a UE that is connected to an LTE-EPC eNB sends a measurement report with an NR cell-A and the serving eNB wants to perform an inter-RAT handover and/or release and redirect to that NR cell. In such a case, if the NR cell is NSA that </w:t>
      </w:r>
      <w:r w:rsidR="00510F75">
        <w:rPr>
          <w:rFonts w:eastAsia="Arial" w:cs="Arial"/>
        </w:rPr>
        <w:t>cannot be performed</w:t>
      </w:r>
      <w:r w:rsidRPr="1FB43C4D">
        <w:rPr>
          <w:rFonts w:eastAsia="Arial" w:cs="Arial"/>
        </w:rPr>
        <w:t>.</w:t>
      </w:r>
      <w:r w:rsidR="00510F75">
        <w:rPr>
          <w:rFonts w:eastAsia="Arial" w:cs="Arial"/>
        </w:rPr>
        <w:t xml:space="preserve"> </w:t>
      </w:r>
      <w:r w:rsidRPr="1FB43C4D">
        <w:rPr>
          <w:rFonts w:eastAsia="Arial" w:cs="Arial"/>
        </w:rPr>
        <w:t>Another problem is when a UE connected to an LTE-EPC eNB sends a measurement report with an NR cell-A and the serving eNB wants to perform EN-DC. If that NR cell is SA cell that might not be supported and could also lead to errors. Yet another problem is when a UE connected to an NR gNB sends a measurement report with an NR cell-A and the serving gNB wants to perform a handover. If that NR cell is NSA cell that might not be supported and could also lead to errors.</w:t>
      </w:r>
    </w:p>
    <w:p w14:paraId="7F761ED6" w14:textId="354A601A" w:rsidR="00CB27CF" w:rsidRPr="00CB27CF" w:rsidRDefault="1FB43C4D" w:rsidP="1FB43C4D">
      <w:pPr>
        <w:pStyle w:val="BodyText"/>
        <w:numPr>
          <w:ilvl w:val="0"/>
          <w:numId w:val="25"/>
        </w:numPr>
        <w:ind w:left="1560" w:hanging="1560"/>
        <w:rPr>
          <w:b/>
          <w:bCs/>
        </w:rPr>
      </w:pPr>
      <w:r w:rsidRPr="1FB43C4D">
        <w:rPr>
          <w:b/>
          <w:bCs/>
          <w:lang w:val="en-US"/>
        </w:rPr>
        <w:t>As different NR cells can have quite different functionalities, and the UE support any also be quite diverse, the current ANR procedures have some deficiencies which could lead to quite many error cases</w:t>
      </w:r>
      <w:r w:rsidRPr="1FB43C4D">
        <w:rPr>
          <w:b/>
          <w:bCs/>
        </w:rPr>
        <w:t>.</w:t>
      </w:r>
    </w:p>
    <w:p w14:paraId="3BFF13FE" w14:textId="1360D558" w:rsidR="1FB43C4D" w:rsidRDefault="1FB43C4D" w:rsidP="1FB43C4D">
      <w:pPr>
        <w:pStyle w:val="BodyText"/>
      </w:pPr>
    </w:p>
    <w:p w14:paraId="29E9795A" w14:textId="386F80AE" w:rsidR="00B15BD5" w:rsidRDefault="00B15BD5" w:rsidP="00B15BD5">
      <w:pPr>
        <w:pStyle w:val="BodyText"/>
      </w:pPr>
      <w:r>
        <w:t xml:space="preserve">One way to solve that would be to include </w:t>
      </w:r>
      <w:r w:rsidR="1FB43C4D">
        <w:t xml:space="preserve">the type of NR cell when building the ANR tables. </w:t>
      </w:r>
      <w:r>
        <w:t xml:space="preserve">One could argue </w:t>
      </w:r>
      <w:r w:rsidR="003D508B">
        <w:t xml:space="preserve">to </w:t>
      </w:r>
      <w:r>
        <w:t>first build the ANR tables and later update that information, manually. That could be done e.g. by an operator allocating NR SA cells to a fixed group of frequencies and NSA cells to a different fixed group of frequencies</w:t>
      </w:r>
      <w:r w:rsidR="003D508B">
        <w:t>, or even manually indicate to each node via OMA which NR cells for which frequencies are SA and NSA</w:t>
      </w:r>
      <w:r>
        <w:t>. Although that may work, operator</w:t>
      </w:r>
      <w:r w:rsidR="00F27EC0">
        <w:t>s</w:t>
      </w:r>
      <w:r>
        <w:t xml:space="preserve"> would lose the flexibility to perform a more dynamic load balancing. That would lead to higher operational cost and would require more careful planning and optimizations, which is a source of errors. Also, the information would most likely have to be provided in advance even before knowing which neighbour cells a given node will define.</w:t>
      </w:r>
    </w:p>
    <w:p w14:paraId="79E33ED3" w14:textId="77777777" w:rsidR="00B15BD5" w:rsidRDefault="00B15BD5" w:rsidP="00C80623">
      <w:pPr>
        <w:pStyle w:val="BodyText"/>
      </w:pPr>
    </w:p>
    <w:p w14:paraId="7912E5A4" w14:textId="5100CB47" w:rsidR="00B15BD5" w:rsidRDefault="00B15BD5" w:rsidP="00C80623">
      <w:pPr>
        <w:pStyle w:val="BodyText"/>
        <w:rPr>
          <w:rFonts w:eastAsia="Arial" w:cs="Arial"/>
        </w:rPr>
      </w:pPr>
      <w:r>
        <w:lastRenderedPageBreak/>
        <w:t xml:space="preserve">A more efficient alternative could be to rely on current </w:t>
      </w:r>
      <w:r w:rsidR="1FB43C4D" w:rsidRPr="1FB43C4D">
        <w:rPr>
          <w:rFonts w:eastAsia="Arial" w:cs="Arial"/>
        </w:rPr>
        <w:t xml:space="preserve">CGI reporting functionality where the UE is provided by the network with an NR cell identifier e.g. physical cell identifier (PCI), based on that it acquires system information associated with that NR cell identifier (by any system information acquisition method e.g. broadcasted or on demand) and </w:t>
      </w:r>
      <w:r w:rsidR="009D2335">
        <w:rPr>
          <w:rFonts w:eastAsia="Arial" w:cs="Arial"/>
        </w:rPr>
        <w:t>derives</w:t>
      </w:r>
      <w:r w:rsidR="1FB43C4D" w:rsidRPr="1FB43C4D">
        <w:rPr>
          <w:rFonts w:eastAsia="Arial" w:cs="Arial"/>
        </w:rPr>
        <w:t xml:space="preserve"> </w:t>
      </w:r>
      <w:r>
        <w:rPr>
          <w:rFonts w:eastAsia="Arial" w:cs="Arial"/>
        </w:rPr>
        <w:t xml:space="preserve">the necessary information to build appropriated neighbour relations. In this </w:t>
      </w:r>
      <w:proofErr w:type="gramStart"/>
      <w:r>
        <w:rPr>
          <w:rFonts w:eastAsia="Arial" w:cs="Arial"/>
        </w:rPr>
        <w:t>particular case</w:t>
      </w:r>
      <w:proofErr w:type="gramEnd"/>
      <w:r>
        <w:rPr>
          <w:rFonts w:eastAsia="Arial" w:cs="Arial"/>
        </w:rPr>
        <w:t xml:space="preserve">, the UE would also include </w:t>
      </w:r>
      <w:r w:rsidR="1FB43C4D" w:rsidRPr="1FB43C4D">
        <w:rPr>
          <w:rFonts w:eastAsia="Arial" w:cs="Arial"/>
        </w:rPr>
        <w:t>whether that NR cell is an SA or NSA.</w:t>
      </w:r>
      <w:r w:rsidR="00F31327">
        <w:rPr>
          <w:rFonts w:eastAsia="Arial" w:cs="Arial"/>
        </w:rPr>
        <w:t xml:space="preserve"> </w:t>
      </w:r>
    </w:p>
    <w:p w14:paraId="144D47CA" w14:textId="1D9C9280" w:rsidR="00C80623" w:rsidRPr="00C81E56" w:rsidRDefault="00B15BD5" w:rsidP="00A15DFC">
      <w:pPr>
        <w:pStyle w:val="BodyText"/>
        <w:rPr>
          <w:b/>
        </w:rPr>
      </w:pPr>
      <w:r>
        <w:rPr>
          <w:rFonts w:eastAsia="Arial" w:cs="Arial"/>
        </w:rPr>
        <w:t xml:space="preserve">RAN2 can further discuss what would be the most appropriate way to derive this </w:t>
      </w:r>
      <w:r w:rsidR="00657DE5">
        <w:rPr>
          <w:rFonts w:eastAsia="Arial" w:cs="Arial"/>
        </w:rPr>
        <w:t xml:space="preserve">SA/NSA </w:t>
      </w:r>
      <w:r>
        <w:rPr>
          <w:rFonts w:eastAsia="Arial" w:cs="Arial"/>
        </w:rPr>
        <w:t xml:space="preserve">information. For example, that could be provided </w:t>
      </w:r>
      <w:r w:rsidR="00F31327">
        <w:rPr>
          <w:rFonts w:eastAsia="Arial" w:cs="Arial"/>
        </w:rPr>
        <w:t>via broadcasting</w:t>
      </w:r>
      <w:r>
        <w:rPr>
          <w:rFonts w:eastAsia="Arial" w:cs="Arial"/>
        </w:rPr>
        <w:t xml:space="preserve">, </w:t>
      </w:r>
      <w:r w:rsidR="00F31327">
        <w:rPr>
          <w:rFonts w:eastAsia="Arial" w:cs="Arial"/>
        </w:rPr>
        <w:t>in SIB</w:t>
      </w:r>
      <w:r>
        <w:rPr>
          <w:rFonts w:eastAsia="Arial" w:cs="Arial"/>
        </w:rPr>
        <w:t xml:space="preserve"> or via some other implicit manner</w:t>
      </w:r>
      <w:r w:rsidR="00F31327">
        <w:rPr>
          <w:rFonts w:eastAsia="Arial" w:cs="Arial"/>
        </w:rPr>
        <w:t>.</w:t>
      </w:r>
    </w:p>
    <w:p w14:paraId="5C9D4476" w14:textId="4C6B83BD" w:rsidR="00C80623" w:rsidRPr="003D508B" w:rsidRDefault="1FB43C4D" w:rsidP="00656813">
      <w:pPr>
        <w:pStyle w:val="Proposal"/>
        <w:rPr>
          <w:rStyle w:val="IvDbodytextChar"/>
          <w:spacing w:val="0"/>
        </w:rPr>
      </w:pPr>
      <w:bookmarkStart w:id="3" w:name="_Hlk503258946"/>
      <w:bookmarkStart w:id="4" w:name="_Hlk503258975"/>
      <w:r w:rsidRPr="1FB43C4D">
        <w:rPr>
          <w:rStyle w:val="IvDbodytextChar"/>
        </w:rPr>
        <w:t xml:space="preserve">Support CGI reporting functionality </w:t>
      </w:r>
      <w:r w:rsidR="00B66619">
        <w:rPr>
          <w:rStyle w:val="IvDbodytextChar"/>
        </w:rPr>
        <w:t xml:space="preserve">in NR (38.331) </w:t>
      </w:r>
      <w:r w:rsidRPr="1FB43C4D">
        <w:rPr>
          <w:rStyle w:val="IvDbodytextChar"/>
        </w:rPr>
        <w:t xml:space="preserve">where the UE is provided with an NR cell identifier for which it acquires system information and </w:t>
      </w:r>
      <w:r w:rsidR="009D2335">
        <w:rPr>
          <w:rStyle w:val="IvDbodytextChar"/>
        </w:rPr>
        <w:t>derives</w:t>
      </w:r>
      <w:r w:rsidRPr="1FB43C4D">
        <w:rPr>
          <w:rStyle w:val="IvDbodytextChar"/>
        </w:rPr>
        <w:t xml:space="preserve"> whether that NR cell is an SA or NSA. Once that is done, the UE includes that in a measurement report and send </w:t>
      </w:r>
      <w:r w:rsidR="00F27EC0">
        <w:rPr>
          <w:rStyle w:val="IvDbodytextChar"/>
        </w:rPr>
        <w:t xml:space="preserve">it </w:t>
      </w:r>
      <w:r w:rsidRPr="1FB43C4D">
        <w:rPr>
          <w:rStyle w:val="IvDbodytextChar"/>
        </w:rPr>
        <w:t>to the serving node.</w:t>
      </w:r>
      <w:bookmarkEnd w:id="3"/>
    </w:p>
    <w:p w14:paraId="1333E932" w14:textId="46DBFCA1" w:rsidR="00B66619" w:rsidRDefault="00B66619" w:rsidP="003D508B">
      <w:pPr>
        <w:pStyle w:val="Proposal"/>
        <w:numPr>
          <w:ilvl w:val="0"/>
          <w:numId w:val="0"/>
        </w:numPr>
        <w:ind w:left="1701"/>
        <w:rPr>
          <w:rStyle w:val="IvDbodytextChar"/>
        </w:rPr>
      </w:pPr>
    </w:p>
    <w:p w14:paraId="007784E8" w14:textId="6443C799" w:rsidR="00B66619" w:rsidRDefault="00B66619" w:rsidP="003D508B">
      <w:pPr>
        <w:pStyle w:val="BodyText"/>
      </w:pPr>
      <w:r>
        <w:t xml:space="preserve">As discussed, the functionality enables an eNB to find out what can be done with a reported NR cell, </w:t>
      </w:r>
      <w:proofErr w:type="spellStart"/>
      <w:r>
        <w:t>i.e</w:t>
      </w:r>
      <w:proofErr w:type="spellEnd"/>
      <w:r>
        <w:t xml:space="preserve">, whether it can perform SA or NSA operation. However, as described in Figure 1, that can be equally beneficial to an NR </w:t>
      </w:r>
      <w:r w:rsidR="00F27EC0">
        <w:t>node. Hence, w</w:t>
      </w:r>
      <w:r>
        <w:t>e suggest RAN2 to discuss whether the functionality should be supported in both LTE and NR.</w:t>
      </w:r>
    </w:p>
    <w:p w14:paraId="4A479C84" w14:textId="3DE57476" w:rsidR="00B66619" w:rsidRPr="00C63A2E" w:rsidRDefault="00B66619" w:rsidP="00B66619">
      <w:pPr>
        <w:pStyle w:val="Proposal"/>
        <w:rPr>
          <w:rStyle w:val="IvDbodytextChar"/>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an NR cell identifier for which it acquires system information and </w:t>
      </w:r>
      <w:r>
        <w:rPr>
          <w:rStyle w:val="IvDbodytextChar"/>
        </w:rPr>
        <w:t>derives</w:t>
      </w:r>
      <w:r w:rsidRPr="1FB43C4D">
        <w:rPr>
          <w:rStyle w:val="IvDbodytextChar"/>
        </w:rPr>
        <w:t xml:space="preserve"> whether that NR cell is an SA or NSA. Once that is done, the UE includes that in a measurement report and send to the serving node.</w:t>
      </w:r>
    </w:p>
    <w:p w14:paraId="022ACA4B" w14:textId="77777777" w:rsidR="00B66619" w:rsidRPr="00B66619" w:rsidRDefault="00B66619" w:rsidP="00B66619">
      <w:pPr>
        <w:pStyle w:val="BodyText"/>
        <w:rPr>
          <w:rStyle w:val="IvDbodytextChar"/>
          <w:rFonts w:eastAsia="Arial" w:cs="Arial"/>
          <w:spacing w:val="0"/>
        </w:rPr>
      </w:pPr>
    </w:p>
    <w:p w14:paraId="2BE3202E" w14:textId="77777777" w:rsidR="00B66619" w:rsidRPr="00B66619" w:rsidRDefault="00B66619" w:rsidP="00B66619">
      <w:pPr>
        <w:pStyle w:val="Proposal"/>
        <w:numPr>
          <w:ilvl w:val="0"/>
          <w:numId w:val="0"/>
        </w:numPr>
        <w:ind w:left="1701" w:hanging="1701"/>
        <w:rPr>
          <w:rStyle w:val="IvDbodytextChar"/>
          <w:spacing w:val="0"/>
        </w:rPr>
      </w:pPr>
    </w:p>
    <w:bookmarkEnd w:id="4"/>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5F7DB868" w14:textId="77777777" w:rsidR="00656813" w:rsidRDefault="00656813" w:rsidP="00F27EC0">
      <w:pPr>
        <w:pStyle w:val="BodyText"/>
        <w:numPr>
          <w:ilvl w:val="0"/>
          <w:numId w:val="43"/>
        </w:numPr>
        <w:ind w:left="1530" w:hanging="1530"/>
        <w:rPr>
          <w:b/>
        </w:rPr>
      </w:pPr>
      <w:r w:rsidRPr="00BD6E4E">
        <w:rPr>
          <w:b/>
          <w:lang w:val="en-US"/>
        </w:rPr>
        <w:t>In real deployment, it is possible to support multiple options in parallel in the same network e.g. there could be eNB base station supporting option 3, 5 and 7 in the same network as NR base station supporting 2 and 4</w:t>
      </w:r>
      <w:r w:rsidRPr="00A87C47">
        <w:rPr>
          <w:b/>
        </w:rPr>
        <w:t>.</w:t>
      </w:r>
    </w:p>
    <w:p w14:paraId="75186597" w14:textId="27EEC6E6" w:rsidR="00656813" w:rsidRPr="00CB27CF" w:rsidRDefault="1FB43C4D" w:rsidP="00F27EC0">
      <w:pPr>
        <w:pStyle w:val="BodyText"/>
        <w:numPr>
          <w:ilvl w:val="0"/>
          <w:numId w:val="43"/>
        </w:numPr>
        <w:ind w:left="1560" w:hanging="1560"/>
        <w:rPr>
          <w:b/>
          <w:bCs/>
        </w:rPr>
      </w:pPr>
      <w:r w:rsidRPr="1FB43C4D">
        <w:rPr>
          <w:b/>
          <w:bCs/>
          <w:lang w:val="en-US"/>
        </w:rPr>
        <w:t>As different NR cells can have quite different functionalities, and the UE support any also be quite diverse, the current ANR procedures have some deficiencies which could lead to quite many error cases</w:t>
      </w:r>
      <w:r w:rsidRPr="1FB43C4D">
        <w:rPr>
          <w:b/>
          <w:bCs/>
        </w:rPr>
        <w:t>.</w:t>
      </w:r>
    </w:p>
    <w:p w14:paraId="7D2B22A8" w14:textId="77777777" w:rsidR="004158C2" w:rsidRDefault="004158C2" w:rsidP="00F27EC0">
      <w:pPr>
        <w:pStyle w:val="BodyText"/>
      </w:pPr>
    </w:p>
    <w:p w14:paraId="16745B98" w14:textId="27B865AA" w:rsidR="004158C2" w:rsidRDefault="004158C2" w:rsidP="00F27EC0">
      <w:pPr>
        <w:pStyle w:val="BodyText"/>
      </w:pPr>
      <w:r>
        <w:t>Based on these observations, we have proposed the following:</w:t>
      </w:r>
    </w:p>
    <w:p w14:paraId="2EFC6F42" w14:textId="3B61AF9C" w:rsidR="00F27EC0" w:rsidRPr="00F27EC0" w:rsidRDefault="00F27EC0" w:rsidP="00F27EC0">
      <w:pPr>
        <w:pStyle w:val="Proposal"/>
        <w:numPr>
          <w:ilvl w:val="0"/>
          <w:numId w:val="44"/>
        </w:numPr>
        <w:rPr>
          <w:rStyle w:val="IvDbodytextChar"/>
          <w:spacing w:val="0"/>
        </w:rPr>
      </w:pPr>
      <w:r>
        <w:rPr>
          <w:rStyle w:val="IvDbodytextChar"/>
          <w:spacing w:val="0"/>
        </w:rPr>
        <w:t>Support</w:t>
      </w:r>
      <w:r w:rsidRPr="1FB43C4D">
        <w:rPr>
          <w:rStyle w:val="IvDbodytextChar"/>
        </w:rPr>
        <w:t xml:space="preserve"> CGI reporting functionality </w:t>
      </w:r>
      <w:r>
        <w:rPr>
          <w:rStyle w:val="IvDbodytextChar"/>
        </w:rPr>
        <w:t xml:space="preserve">in NR (38.331) </w:t>
      </w:r>
      <w:r w:rsidRPr="1FB43C4D">
        <w:rPr>
          <w:rStyle w:val="IvDbodytextChar"/>
        </w:rPr>
        <w:t xml:space="preserve">where the UE is provided with an NR cell identifier for which it acquires system information and </w:t>
      </w:r>
      <w:r>
        <w:rPr>
          <w:rStyle w:val="IvDbodytextChar"/>
        </w:rPr>
        <w:t>derives</w:t>
      </w:r>
      <w:r w:rsidRPr="1FB43C4D">
        <w:rPr>
          <w:rStyle w:val="IvDbodytextChar"/>
        </w:rPr>
        <w:t xml:space="preserve"> whether that NR cell is an SA or NSA. Once that is done, the UE includes that in a measurement report and send </w:t>
      </w:r>
      <w:r>
        <w:rPr>
          <w:rStyle w:val="IvDbodytextChar"/>
        </w:rPr>
        <w:t xml:space="preserve">it </w:t>
      </w:r>
      <w:r w:rsidRPr="1FB43C4D">
        <w:rPr>
          <w:rStyle w:val="IvDbodytextChar"/>
        </w:rPr>
        <w:t>to the serving node</w:t>
      </w:r>
    </w:p>
    <w:p w14:paraId="446E174C" w14:textId="0B6B5083" w:rsidR="00F27EC0" w:rsidRPr="00F27EC0" w:rsidRDefault="00F27EC0" w:rsidP="00F27EC0">
      <w:pPr>
        <w:pStyle w:val="Proposal"/>
        <w:numPr>
          <w:ilvl w:val="0"/>
          <w:numId w:val="44"/>
        </w:numPr>
        <w:rPr>
          <w:rStyle w:val="IvDbodytextChar"/>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an NR cell identifier for which it acquires system information and </w:t>
      </w:r>
      <w:r>
        <w:rPr>
          <w:rStyle w:val="IvDbodytextChar"/>
        </w:rPr>
        <w:t>derives</w:t>
      </w:r>
      <w:r w:rsidRPr="1FB43C4D">
        <w:rPr>
          <w:rStyle w:val="IvDbodytextChar"/>
        </w:rPr>
        <w:t xml:space="preserve"> whether that NR cell is an SA or NSA. Once that is done, the UE includes that in a measurement report and send to the serving node.</w:t>
      </w:r>
    </w:p>
    <w:p w14:paraId="4C2B56AA" w14:textId="77777777" w:rsidR="00F27EC0" w:rsidRPr="00D56529" w:rsidRDefault="00F27EC0" w:rsidP="00F27EC0">
      <w:pPr>
        <w:pStyle w:val="Proposal"/>
        <w:numPr>
          <w:ilvl w:val="0"/>
          <w:numId w:val="0"/>
        </w:numPr>
        <w:tabs>
          <w:tab w:val="clear" w:pos="1701"/>
          <w:tab w:val="num" w:pos="1710"/>
        </w:tabs>
        <w:ind w:left="1710"/>
        <w:rPr>
          <w:rStyle w:val="IvDbodytextChar"/>
        </w:rPr>
      </w:pPr>
    </w:p>
    <w:p w14:paraId="68210438" w14:textId="77777777" w:rsidR="00656813" w:rsidRDefault="00656813" w:rsidP="004158C2">
      <w:pPr>
        <w:pStyle w:val="BodyText"/>
      </w:pPr>
    </w:p>
    <w:p w14:paraId="4F3D1ECA" w14:textId="77777777" w:rsidR="00F507D1" w:rsidRPr="00E940CC" w:rsidRDefault="00F507D1" w:rsidP="00CE0424">
      <w:pPr>
        <w:pStyle w:val="Heading1"/>
      </w:pPr>
      <w:bookmarkStart w:id="5" w:name="_In-sequence_SDU_delivery"/>
      <w:bookmarkEnd w:id="5"/>
      <w:r w:rsidRPr="00E940CC">
        <w:t>References</w:t>
      </w:r>
    </w:p>
    <w:p w14:paraId="0B8BECB2" w14:textId="6339098B" w:rsidR="008B6D83" w:rsidRPr="00E940CC" w:rsidRDefault="00E940CC" w:rsidP="00E940CC">
      <w:pPr>
        <w:pStyle w:val="Reference"/>
      </w:pPr>
      <w:bookmarkStart w:id="6" w:name="_Ref456254943"/>
      <w:bookmarkStart w:id="7" w:name="_Ref456256904"/>
      <w:bookmarkStart w:id="8" w:name="_Ref455126129"/>
      <w:bookmarkStart w:id="9" w:name="_Ref174151459"/>
      <w:bookmarkStart w:id="10" w:name="_Ref189809556"/>
      <w:bookmarkStart w:id="11" w:name="_Ref458687908"/>
      <w:bookmarkStart w:id="12" w:name="_Ref503257843"/>
      <w:r w:rsidRPr="00E940CC">
        <w:rPr>
          <w:rFonts w:cs="Arial"/>
        </w:rPr>
        <w:t>R2-1801311</w:t>
      </w:r>
      <w:r w:rsidR="006B6329" w:rsidRPr="00E940CC">
        <w:t xml:space="preserve">, “ANR framework in </w:t>
      </w:r>
      <w:r w:rsidRPr="00E940CC">
        <w:rPr>
          <w:rFonts w:cs="Arial"/>
        </w:rPr>
        <w:t>for EN-DC and NR standalone</w:t>
      </w:r>
      <w:r w:rsidR="006B6329" w:rsidRPr="00E940CC">
        <w:t xml:space="preserve">”, Ericsson, </w:t>
      </w:r>
      <w:r w:rsidR="009A1D90" w:rsidRPr="00E940CC">
        <w:t>RAN2</w:t>
      </w:r>
      <w:r w:rsidR="00AF552F" w:rsidRPr="00E940CC">
        <w:t>-</w:t>
      </w:r>
      <w:r w:rsidR="009A1D90" w:rsidRPr="00E940CC">
        <w:t>1801</w:t>
      </w:r>
      <w:r w:rsidR="00AF552F" w:rsidRPr="00E940CC">
        <w:t xml:space="preserve"> AH</w:t>
      </w:r>
      <w:r w:rsidR="009A1D90" w:rsidRPr="00E940CC">
        <w:t>, Vancouver, Canada, 22</w:t>
      </w:r>
      <w:r w:rsidR="009A1D90" w:rsidRPr="00E940CC">
        <w:rPr>
          <w:vertAlign w:val="superscript"/>
        </w:rPr>
        <w:t>nd</w:t>
      </w:r>
      <w:r w:rsidR="009A1D90" w:rsidRPr="00E940CC">
        <w:t xml:space="preserve"> – 26</w:t>
      </w:r>
      <w:r w:rsidR="009A1D90" w:rsidRPr="00E940CC">
        <w:rPr>
          <w:vertAlign w:val="superscript"/>
        </w:rPr>
        <w:t>th</w:t>
      </w:r>
      <w:r w:rsidR="009A1D90" w:rsidRPr="00E940CC">
        <w:t xml:space="preserve"> </w:t>
      </w:r>
      <w:r w:rsidR="006B6329" w:rsidRPr="00E940CC">
        <w:t>January 2018</w:t>
      </w:r>
      <w:bookmarkEnd w:id="6"/>
      <w:bookmarkEnd w:id="7"/>
      <w:bookmarkEnd w:id="8"/>
      <w:bookmarkEnd w:id="9"/>
      <w:bookmarkEnd w:id="10"/>
      <w:bookmarkEnd w:id="11"/>
      <w:bookmarkEnd w:id="12"/>
      <w:r w:rsidRPr="00E940CC">
        <w:rPr>
          <w:rFonts w:cs="Arial"/>
        </w:rPr>
        <w:t xml:space="preserve"> </w:t>
      </w:r>
    </w:p>
    <w:sectPr w:rsidR="008B6D83" w:rsidRPr="00E940C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C42A8" w14:textId="77777777" w:rsidR="009E1866" w:rsidRDefault="009E1866">
      <w:r>
        <w:separator/>
      </w:r>
    </w:p>
  </w:endnote>
  <w:endnote w:type="continuationSeparator" w:id="0">
    <w:p w14:paraId="52D94C42" w14:textId="77777777" w:rsidR="009E1866" w:rsidRDefault="009E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2D795540"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004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04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6FA9A" w14:textId="77777777" w:rsidR="009E1866" w:rsidRDefault="009E1866">
      <w:r>
        <w:separator/>
      </w:r>
    </w:p>
  </w:footnote>
  <w:footnote w:type="continuationSeparator" w:id="0">
    <w:p w14:paraId="6EBF3DE8" w14:textId="77777777" w:rsidR="009E1866" w:rsidRDefault="009E1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518E0"/>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7"/>
  </w:num>
  <w:num w:numId="17">
    <w:abstractNumId w:val="28"/>
  </w:num>
  <w:num w:numId="18">
    <w:abstractNumId w:val="13"/>
  </w:num>
  <w:num w:numId="19">
    <w:abstractNumId w:val="18"/>
  </w:num>
  <w:num w:numId="20">
    <w:abstractNumId w:val="34"/>
  </w:num>
  <w:num w:numId="21">
    <w:abstractNumId w:val="5"/>
  </w:num>
  <w:num w:numId="22">
    <w:abstractNumId w:val="38"/>
  </w:num>
  <w:num w:numId="23">
    <w:abstractNumId w:val="36"/>
  </w:num>
  <w:num w:numId="24">
    <w:abstractNumId w:val="11"/>
  </w:num>
  <w:num w:numId="25">
    <w:abstractNumId w:val="35"/>
  </w:num>
  <w:num w:numId="26">
    <w:abstractNumId w:val="18"/>
    <w:lvlOverride w:ilvl="0">
      <w:startOverride w:val="1"/>
    </w:lvlOverride>
  </w:num>
  <w:num w:numId="27">
    <w:abstractNumId w:val="32"/>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3"/>
  </w:num>
  <w:num w:numId="41">
    <w:abstractNumId w:val="18"/>
    <w:lvlOverride w:ilvl="0">
      <w:startOverride w:val="1"/>
    </w:lvlOverride>
  </w:num>
  <w:num w:numId="42">
    <w:abstractNumId w:val="8"/>
  </w:num>
  <w:num w:numId="43">
    <w:abstractNumId w:val="31"/>
  </w:num>
  <w:num w:numId="4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4780"/>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2924"/>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1D5"/>
    <w:rsid w:val="0030256B"/>
    <w:rsid w:val="00303BD7"/>
    <w:rsid w:val="0030435A"/>
    <w:rsid w:val="0030501F"/>
    <w:rsid w:val="003065F6"/>
    <w:rsid w:val="00307BA1"/>
    <w:rsid w:val="003114F4"/>
    <w:rsid w:val="00311702"/>
    <w:rsid w:val="00311E82"/>
    <w:rsid w:val="00312FF4"/>
    <w:rsid w:val="00313FD6"/>
    <w:rsid w:val="003143BD"/>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5AE9"/>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08B"/>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897"/>
    <w:rsid w:val="00421105"/>
    <w:rsid w:val="004242F4"/>
    <w:rsid w:val="00427248"/>
    <w:rsid w:val="004350C5"/>
    <w:rsid w:val="00437447"/>
    <w:rsid w:val="00441A92"/>
    <w:rsid w:val="00444F56"/>
    <w:rsid w:val="00446488"/>
    <w:rsid w:val="004517AA"/>
    <w:rsid w:val="00452041"/>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0F75"/>
    <w:rsid w:val="005116F9"/>
    <w:rsid w:val="00514F48"/>
    <w:rsid w:val="005153A7"/>
    <w:rsid w:val="00517DC6"/>
    <w:rsid w:val="005219CF"/>
    <w:rsid w:val="00523EA0"/>
    <w:rsid w:val="0052428F"/>
    <w:rsid w:val="00524688"/>
    <w:rsid w:val="00534B59"/>
    <w:rsid w:val="00536759"/>
    <w:rsid w:val="00536B1A"/>
    <w:rsid w:val="00537C62"/>
    <w:rsid w:val="00546970"/>
    <w:rsid w:val="00547AAB"/>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40"/>
    <w:rsid w:val="005900FA"/>
    <w:rsid w:val="005935A4"/>
    <w:rsid w:val="005948C2"/>
    <w:rsid w:val="00595DCA"/>
    <w:rsid w:val="0059779B"/>
    <w:rsid w:val="005A209A"/>
    <w:rsid w:val="005A2C57"/>
    <w:rsid w:val="005A561A"/>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813"/>
    <w:rsid w:val="00656A92"/>
    <w:rsid w:val="00656DDE"/>
    <w:rsid w:val="00657DE5"/>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38BB"/>
    <w:rsid w:val="006952D7"/>
    <w:rsid w:val="00695FC2"/>
    <w:rsid w:val="00696949"/>
    <w:rsid w:val="00697052"/>
    <w:rsid w:val="00697C0E"/>
    <w:rsid w:val="006A1E71"/>
    <w:rsid w:val="006A46FB"/>
    <w:rsid w:val="006A5E28"/>
    <w:rsid w:val="006A697B"/>
    <w:rsid w:val="006A7AFF"/>
    <w:rsid w:val="006B1816"/>
    <w:rsid w:val="006B2099"/>
    <w:rsid w:val="006B39F6"/>
    <w:rsid w:val="006B50CF"/>
    <w:rsid w:val="006B6329"/>
    <w:rsid w:val="006C03B8"/>
    <w:rsid w:val="006C3516"/>
    <w:rsid w:val="006C5EC9"/>
    <w:rsid w:val="006C6059"/>
    <w:rsid w:val="006C7391"/>
    <w:rsid w:val="006C7522"/>
    <w:rsid w:val="006D4F19"/>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120C"/>
    <w:rsid w:val="008B5104"/>
    <w:rsid w:val="008B51A0"/>
    <w:rsid w:val="008B5648"/>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4DF6"/>
    <w:rsid w:val="00985253"/>
    <w:rsid w:val="00985302"/>
    <w:rsid w:val="009853B3"/>
    <w:rsid w:val="00990630"/>
    <w:rsid w:val="00990A30"/>
    <w:rsid w:val="00991761"/>
    <w:rsid w:val="00994DCA"/>
    <w:rsid w:val="009960EC"/>
    <w:rsid w:val="009970DD"/>
    <w:rsid w:val="009A024F"/>
    <w:rsid w:val="009A0FBA"/>
    <w:rsid w:val="009A1601"/>
    <w:rsid w:val="009A1D90"/>
    <w:rsid w:val="009A2131"/>
    <w:rsid w:val="009A462D"/>
    <w:rsid w:val="009A5CBA"/>
    <w:rsid w:val="009A7536"/>
    <w:rsid w:val="009A79F8"/>
    <w:rsid w:val="009B1F30"/>
    <w:rsid w:val="009B3AC2"/>
    <w:rsid w:val="009B4DF4"/>
    <w:rsid w:val="009B564E"/>
    <w:rsid w:val="009B7E87"/>
    <w:rsid w:val="009C2637"/>
    <w:rsid w:val="009C403E"/>
    <w:rsid w:val="009D1FE8"/>
    <w:rsid w:val="009D2335"/>
    <w:rsid w:val="009D2AD4"/>
    <w:rsid w:val="009D2B94"/>
    <w:rsid w:val="009D4FF0"/>
    <w:rsid w:val="009D703C"/>
    <w:rsid w:val="009D718F"/>
    <w:rsid w:val="009E068F"/>
    <w:rsid w:val="009E14E0"/>
    <w:rsid w:val="009E1866"/>
    <w:rsid w:val="009E1C05"/>
    <w:rsid w:val="009E35DB"/>
    <w:rsid w:val="009E47A3"/>
    <w:rsid w:val="009E67CE"/>
    <w:rsid w:val="009F08F3"/>
    <w:rsid w:val="009F344F"/>
    <w:rsid w:val="00A048A8"/>
    <w:rsid w:val="00A04F49"/>
    <w:rsid w:val="00A078FE"/>
    <w:rsid w:val="00A0792F"/>
    <w:rsid w:val="00A13E54"/>
    <w:rsid w:val="00A14B31"/>
    <w:rsid w:val="00A15DFC"/>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AF552F"/>
    <w:rsid w:val="00B006FE"/>
    <w:rsid w:val="00B007CB"/>
    <w:rsid w:val="00B02AA9"/>
    <w:rsid w:val="00B02FA3"/>
    <w:rsid w:val="00B05084"/>
    <w:rsid w:val="00B06CB4"/>
    <w:rsid w:val="00B13A6C"/>
    <w:rsid w:val="00B157F9"/>
    <w:rsid w:val="00B15BD5"/>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64C7"/>
    <w:rsid w:val="00B66619"/>
    <w:rsid w:val="00B66689"/>
    <w:rsid w:val="00B70298"/>
    <w:rsid w:val="00B7155D"/>
    <w:rsid w:val="00B739F6"/>
    <w:rsid w:val="00B756D5"/>
    <w:rsid w:val="00B76088"/>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3053"/>
    <w:rsid w:val="00BC4D2E"/>
    <w:rsid w:val="00BD0701"/>
    <w:rsid w:val="00BD2A1D"/>
    <w:rsid w:val="00BD48AC"/>
    <w:rsid w:val="00BD5F1A"/>
    <w:rsid w:val="00BD6748"/>
    <w:rsid w:val="00BD6E4E"/>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02D3"/>
    <w:rsid w:val="00C31964"/>
    <w:rsid w:val="00C34FE8"/>
    <w:rsid w:val="00C3719D"/>
    <w:rsid w:val="00C47863"/>
    <w:rsid w:val="00C54995"/>
    <w:rsid w:val="00C54D41"/>
    <w:rsid w:val="00C60783"/>
    <w:rsid w:val="00C64672"/>
    <w:rsid w:val="00C654BD"/>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811"/>
    <w:rsid w:val="00C91A48"/>
    <w:rsid w:val="00C9317C"/>
    <w:rsid w:val="00C93C4B"/>
    <w:rsid w:val="00C944AB"/>
    <w:rsid w:val="00C9566F"/>
    <w:rsid w:val="00C95B40"/>
    <w:rsid w:val="00CA1ED8"/>
    <w:rsid w:val="00CA330C"/>
    <w:rsid w:val="00CA3F64"/>
    <w:rsid w:val="00CA4FDD"/>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084F"/>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96272"/>
    <w:rsid w:val="00DA305E"/>
    <w:rsid w:val="00DA32BE"/>
    <w:rsid w:val="00DA5007"/>
    <w:rsid w:val="00DA5417"/>
    <w:rsid w:val="00DA56E8"/>
    <w:rsid w:val="00DB09F6"/>
    <w:rsid w:val="00DB0A9F"/>
    <w:rsid w:val="00DB2A5F"/>
    <w:rsid w:val="00DB377D"/>
    <w:rsid w:val="00DC2140"/>
    <w:rsid w:val="00DC2D36"/>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2189"/>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443D"/>
    <w:rsid w:val="00E85928"/>
    <w:rsid w:val="00E87822"/>
    <w:rsid w:val="00E90395"/>
    <w:rsid w:val="00E90E49"/>
    <w:rsid w:val="00E917F9"/>
    <w:rsid w:val="00E9291C"/>
    <w:rsid w:val="00E93FFE"/>
    <w:rsid w:val="00E940CC"/>
    <w:rsid w:val="00E94F8A"/>
    <w:rsid w:val="00EA3F61"/>
    <w:rsid w:val="00EA4D55"/>
    <w:rsid w:val="00EA78D3"/>
    <w:rsid w:val="00EA7A41"/>
    <w:rsid w:val="00EA7E15"/>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3B99"/>
    <w:rsid w:val="00EE5985"/>
    <w:rsid w:val="00EE5C1E"/>
    <w:rsid w:val="00EF18FE"/>
    <w:rsid w:val="00EF4FF6"/>
    <w:rsid w:val="00EF5787"/>
    <w:rsid w:val="00EF60D0"/>
    <w:rsid w:val="00F007A2"/>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7EC0"/>
    <w:rsid w:val="00F30828"/>
    <w:rsid w:val="00F31327"/>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 w:val="1FB43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5NUHHDQN7SK2-1476151046-15606</_dlc_DocId>
    <TaxCatchAll xmlns="d8762117-8292-4133-b1c7-eab5c6487cfd">
      <Value>10</Value>
      <Value>9</Value>
      <Value>8</Value>
      <Value>3</Value>
      <Value>1</Value>
    </TaxCatchAll>
    <_dlc_DocIdUrl xmlns="f166a696-7b5b-4ccd-9f0c-ffde0cceec81">
      <Url>https://ericsson.sharepoint.com/sites/star/_layouts/15/DocIdRedir.aspx?ID=5NUHHDQN7SK2-1476151046-15606</Url>
      <Description>5NUHHDQN7SK2-1476151046-15606</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095A1FF7-663F-480B-93A3-15E86A196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B0B4C139-AD54-4C57-89D7-73CA63DC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Icaro</cp:lastModifiedBy>
  <cp:revision>3</cp:revision>
  <cp:lastPrinted>2016-08-03T08:58:00Z</cp:lastPrinted>
  <dcterms:created xsi:type="dcterms:W3CDTF">2018-01-12T05:51:00Z</dcterms:created>
  <dcterms:modified xsi:type="dcterms:W3CDTF">2018-01-12T05:52:00Z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d4f7de36-f9c3-4ea0-b80a-2fe1f2507f41</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